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3F767" w14:textId="272C04B8" w:rsidR="007F0D78" w:rsidRDefault="007F0D78" w:rsidP="007F0D78">
      <w:pPr>
        <w:pStyle w:val="p1"/>
        <w:spacing w:before="0" w:beforeAutospacing="0" w:after="0" w:afterAutospacing="0"/>
        <w:jc w:val="center"/>
        <w:rPr>
          <w:rStyle w:val="s1"/>
          <w:rFonts w:ascii="UICTFontTextStyleBody" w:hAnsi="UICTFontTextStyleBody"/>
          <w:sz w:val="26"/>
          <w:szCs w:val="26"/>
        </w:rPr>
      </w:pPr>
      <w:bookmarkStart w:id="0" w:name="_GoBack"/>
      <w:bookmarkEnd w:id="0"/>
      <w:r>
        <w:rPr>
          <w:rStyle w:val="s1"/>
          <w:rFonts w:ascii="UICTFontTextStyleBody" w:hAnsi="UICTFontTextStyleBody"/>
          <w:sz w:val="26"/>
          <w:szCs w:val="26"/>
        </w:rPr>
        <w:t>CLARIFICATION OF AMICUS BRIEF</w:t>
      </w:r>
    </w:p>
    <w:p w14:paraId="0006499D" w14:textId="77777777" w:rsidR="007F0D78" w:rsidRDefault="007F0D78" w:rsidP="007F0D78">
      <w:pPr>
        <w:pStyle w:val="p1"/>
        <w:spacing w:before="0" w:beforeAutospacing="0" w:after="0" w:afterAutospacing="0"/>
        <w:rPr>
          <w:rStyle w:val="s1"/>
          <w:rFonts w:ascii="UICTFontTextStyleBody" w:hAnsi="UICTFontTextStyleBody"/>
          <w:sz w:val="26"/>
          <w:szCs w:val="26"/>
        </w:rPr>
      </w:pPr>
    </w:p>
    <w:p w14:paraId="796BE2BB" w14:textId="77777777" w:rsidR="007F0D78" w:rsidRDefault="007F0D78" w:rsidP="007F0D78">
      <w:pPr>
        <w:pStyle w:val="p1"/>
        <w:spacing w:before="0" w:beforeAutospacing="0" w:after="0" w:afterAutospacing="0"/>
        <w:rPr>
          <w:rStyle w:val="s1"/>
          <w:rFonts w:ascii="UICTFontTextStyleBody" w:hAnsi="UICTFontTextStyleBody"/>
          <w:sz w:val="26"/>
          <w:szCs w:val="26"/>
        </w:rPr>
      </w:pPr>
    </w:p>
    <w:p w14:paraId="69EB07B3" w14:textId="5ECDB0D0" w:rsidR="007F0D78" w:rsidRDefault="007F0D78" w:rsidP="007F0D78">
      <w:pPr>
        <w:pStyle w:val="p1"/>
        <w:spacing w:before="0" w:beforeAutospacing="0" w:after="0" w:afterAutospacing="0"/>
        <w:jc w:val="both"/>
      </w:pPr>
      <w:r w:rsidRPr="007F0D78">
        <w:rPr>
          <w:rStyle w:val="s1"/>
          <w:rFonts w:ascii="UICTFontTextStyleBody" w:hAnsi="UICTFontTextStyleBody"/>
          <w:sz w:val="26"/>
          <w:szCs w:val="26"/>
        </w:rPr>
        <w:t>The State of Louisiana</w:t>
      </w:r>
      <w:r w:rsidR="00C00A30">
        <w:rPr>
          <w:rStyle w:val="s1"/>
          <w:rFonts w:ascii="UICTFontTextStyleBody" w:hAnsi="UICTFontTextStyleBody"/>
          <w:sz w:val="26"/>
          <w:szCs w:val="26"/>
        </w:rPr>
        <w:t>, through the Louisiana Department of Justice,</w:t>
      </w:r>
      <w:r w:rsidRPr="007F0D78">
        <w:rPr>
          <w:rStyle w:val="s1"/>
          <w:rFonts w:ascii="UICTFontTextStyleBody" w:hAnsi="UICTFontTextStyleBody"/>
          <w:sz w:val="26"/>
          <w:szCs w:val="26"/>
        </w:rPr>
        <w:t xml:space="preserve"> filed an amicus brief in the pending appeal of </w:t>
      </w:r>
      <w:r w:rsidRPr="00A9047E">
        <w:rPr>
          <w:rStyle w:val="s1"/>
          <w:rFonts w:ascii="UICTFontTextStyleBody" w:hAnsi="UICTFontTextStyleBody"/>
          <w:i/>
          <w:sz w:val="26"/>
          <w:szCs w:val="26"/>
        </w:rPr>
        <w:t>ETC Tiger Pipeline, LLC v. DT Midstream, Inc. et al</w:t>
      </w:r>
      <w:r w:rsidRPr="007F0D78">
        <w:rPr>
          <w:rStyle w:val="s1"/>
          <w:rFonts w:ascii="UICTFontTextStyleBody" w:hAnsi="UICTFontTextStyleBody"/>
          <w:sz w:val="26"/>
          <w:szCs w:val="26"/>
        </w:rPr>
        <w:t>, No. 55,534 (La. App. 2</w:t>
      </w:r>
      <w:r w:rsidRPr="007F0D78">
        <w:rPr>
          <w:rStyle w:val="s1"/>
          <w:rFonts w:ascii="UICTFontTextStyleBody" w:hAnsi="UICTFontTextStyleBody"/>
          <w:sz w:val="26"/>
          <w:szCs w:val="26"/>
          <w:vertAlign w:val="superscript"/>
        </w:rPr>
        <w:t>nd</w:t>
      </w:r>
      <w:r w:rsidRPr="007F0D78">
        <w:rPr>
          <w:rStyle w:val="s1"/>
          <w:rFonts w:ascii="UICTFontTextStyleBody" w:hAnsi="UICTFontTextStyleBody"/>
          <w:sz w:val="26"/>
          <w:szCs w:val="26"/>
        </w:rPr>
        <w:t xml:space="preserve"> Cir. 2023).</w:t>
      </w:r>
      <w:r w:rsidR="00A9047E">
        <w:rPr>
          <w:rStyle w:val="s1"/>
          <w:rFonts w:ascii="UICTFontTextStyleBody" w:hAnsi="UICTFontTextStyleBody"/>
          <w:sz w:val="26"/>
          <w:szCs w:val="26"/>
        </w:rPr>
        <w:t xml:space="preserve"> In addition to this case we understand that several other suits have been filed concerning pipeline crossing disputes in Caddo and DeSoto Parish.</w:t>
      </w:r>
      <w:r w:rsidR="00A9047E">
        <w:rPr>
          <w:rStyle w:val="FootnoteReference"/>
          <w:rFonts w:ascii="UICTFontTextStyleBody" w:hAnsi="UICTFontTextStyleBody"/>
          <w:sz w:val="26"/>
          <w:szCs w:val="26"/>
        </w:rPr>
        <w:footnoteReference w:id="1"/>
      </w:r>
      <w:r w:rsidRPr="007F0D78">
        <w:rPr>
          <w:rStyle w:val="s1"/>
          <w:rFonts w:ascii="UICTFontTextStyleBody" w:hAnsi="UICTFontTextStyleBody"/>
          <w:sz w:val="26"/>
          <w:szCs w:val="26"/>
        </w:rPr>
        <w:t xml:space="preserve"> </w:t>
      </w:r>
      <w:r w:rsidR="003F04CE">
        <w:rPr>
          <w:rStyle w:val="s1"/>
          <w:rFonts w:ascii="UICTFontTextStyleBody" w:hAnsi="UICTFontTextStyleBody"/>
          <w:sz w:val="26"/>
          <w:szCs w:val="26"/>
        </w:rPr>
        <w:t>It has been reported that t</w:t>
      </w:r>
      <w:r w:rsidRPr="007F0D78">
        <w:rPr>
          <w:rStyle w:val="s1"/>
          <w:rFonts w:ascii="UICTFontTextStyleBody" w:hAnsi="UICTFontTextStyleBody"/>
          <w:sz w:val="26"/>
          <w:szCs w:val="26"/>
        </w:rPr>
        <w:t>he positions in the State’s brief have been cited in various forums in a manner not intended by the State of Louisiana. While the State consistently supports the growth of natural gas pipeline infrastructure in Louisiana, the State’s brief</w:t>
      </w:r>
      <w:r w:rsidR="003F04CE">
        <w:rPr>
          <w:rStyle w:val="s1"/>
          <w:rFonts w:ascii="UICTFontTextStyleBody" w:hAnsi="UICTFontTextStyleBody"/>
          <w:sz w:val="26"/>
          <w:szCs w:val="26"/>
        </w:rPr>
        <w:t xml:space="preserve"> speaks for itself and</w:t>
      </w:r>
      <w:r w:rsidRPr="007F0D78">
        <w:rPr>
          <w:rStyle w:val="s1"/>
          <w:rFonts w:ascii="UICTFontTextStyleBody" w:hAnsi="UICTFontTextStyleBody"/>
          <w:sz w:val="26"/>
          <w:szCs w:val="26"/>
        </w:rPr>
        <w:t xml:space="preserve"> </w:t>
      </w:r>
      <w:r w:rsidR="003F04CE">
        <w:rPr>
          <w:rStyle w:val="s1"/>
          <w:rFonts w:ascii="UICTFontTextStyleBody" w:hAnsi="UICTFontTextStyleBody"/>
          <w:sz w:val="26"/>
          <w:szCs w:val="26"/>
        </w:rPr>
        <w:t xml:space="preserve">should not be read to mean support for or against other arguments between the parties to this or other litigation. LDENR’s failure to file an amicus brief or to otherwise weigh in on this litigation should not be interpreted as being against the State’s brief or in favor or opposition to any particular party. Consistent with its role as regulator and </w:t>
      </w:r>
      <w:r w:rsidR="00C00A30">
        <w:rPr>
          <w:rStyle w:val="s1"/>
          <w:rFonts w:ascii="UICTFontTextStyleBody" w:hAnsi="UICTFontTextStyleBody"/>
          <w:sz w:val="26"/>
          <w:szCs w:val="26"/>
        </w:rPr>
        <w:t xml:space="preserve">its </w:t>
      </w:r>
      <w:r w:rsidR="003F04CE">
        <w:rPr>
          <w:rStyle w:val="s1"/>
          <w:rFonts w:ascii="UICTFontTextStyleBody" w:hAnsi="UICTFontTextStyleBody"/>
          <w:sz w:val="26"/>
          <w:szCs w:val="26"/>
        </w:rPr>
        <w:t>history of avoiding involvement in private disputes over private contractual provisions governing</w:t>
      </w:r>
      <w:r w:rsidR="00C00A30">
        <w:rPr>
          <w:rStyle w:val="s1"/>
          <w:rFonts w:ascii="UICTFontTextStyleBody" w:hAnsi="UICTFontTextStyleBody"/>
          <w:sz w:val="26"/>
          <w:szCs w:val="26"/>
        </w:rPr>
        <w:t xml:space="preserve"> private</w:t>
      </w:r>
      <w:r w:rsidR="003F04CE">
        <w:rPr>
          <w:rStyle w:val="s1"/>
          <w:rFonts w:ascii="UICTFontTextStyleBody" w:hAnsi="UICTFontTextStyleBody"/>
          <w:sz w:val="26"/>
          <w:szCs w:val="26"/>
        </w:rPr>
        <w:t xml:space="preserve"> property rights, LDENR does not here take a position on the conflicting interpretations of the property rights created by the private contracts involved</w:t>
      </w:r>
      <w:r w:rsidRPr="007F0D78">
        <w:rPr>
          <w:rStyle w:val="s1"/>
          <w:rFonts w:ascii="UICTFontTextStyleBody" w:hAnsi="UICTFontTextStyleBody"/>
          <w:sz w:val="26"/>
          <w:szCs w:val="26"/>
        </w:rPr>
        <w:t xml:space="preserve">. </w:t>
      </w:r>
      <w:r w:rsidR="003F04CE">
        <w:rPr>
          <w:rStyle w:val="s1"/>
          <w:rFonts w:ascii="UICTFontTextStyleBody" w:hAnsi="UICTFontTextStyleBody"/>
          <w:sz w:val="26"/>
          <w:szCs w:val="26"/>
        </w:rPr>
        <w:t xml:space="preserve">LDENR does take seriously its role as regulator </w:t>
      </w:r>
      <w:r w:rsidR="00C00A30">
        <w:rPr>
          <w:rStyle w:val="s1"/>
          <w:rFonts w:ascii="UICTFontTextStyleBody" w:hAnsi="UICTFontTextStyleBody"/>
          <w:sz w:val="26"/>
          <w:szCs w:val="26"/>
        </w:rPr>
        <w:t>to</w:t>
      </w:r>
      <w:r w:rsidR="003F04CE">
        <w:rPr>
          <w:rStyle w:val="s1"/>
          <w:rFonts w:ascii="UICTFontTextStyleBody" w:hAnsi="UICTFontTextStyleBody"/>
          <w:sz w:val="26"/>
          <w:szCs w:val="26"/>
        </w:rPr>
        <w:t xml:space="preserve"> enforc</w:t>
      </w:r>
      <w:r w:rsidR="00C00A30">
        <w:rPr>
          <w:rStyle w:val="s1"/>
          <w:rFonts w:ascii="UICTFontTextStyleBody" w:hAnsi="UICTFontTextStyleBody"/>
          <w:sz w:val="26"/>
          <w:szCs w:val="26"/>
        </w:rPr>
        <w:t>e PHMSA’s</w:t>
      </w:r>
      <w:r w:rsidR="003F04CE">
        <w:rPr>
          <w:rStyle w:val="s1"/>
          <w:rFonts w:ascii="UICTFontTextStyleBody" w:hAnsi="UICTFontTextStyleBody"/>
          <w:sz w:val="26"/>
          <w:szCs w:val="26"/>
        </w:rPr>
        <w:t xml:space="preserve"> in</w:t>
      </w:r>
      <w:r w:rsidR="00921C39">
        <w:rPr>
          <w:rStyle w:val="s1"/>
          <w:rFonts w:ascii="UICTFontTextStyleBody" w:hAnsi="UICTFontTextStyleBody"/>
          <w:sz w:val="26"/>
          <w:szCs w:val="26"/>
        </w:rPr>
        <w:t>trastate pipeline safety</w:t>
      </w:r>
      <w:r w:rsidR="00C00A30">
        <w:rPr>
          <w:rStyle w:val="s1"/>
          <w:rFonts w:ascii="UICTFontTextStyleBody" w:hAnsi="UICTFontTextStyleBody"/>
          <w:sz w:val="26"/>
          <w:szCs w:val="26"/>
        </w:rPr>
        <w:t xml:space="preserve"> requirements under the Natural Gas Pipeline Safety Act of 1968, as amended,</w:t>
      </w:r>
      <w:r w:rsidR="00921C39">
        <w:rPr>
          <w:rStyle w:val="s1"/>
          <w:rFonts w:ascii="UICTFontTextStyleBody" w:hAnsi="UICTFontTextStyleBody"/>
          <w:sz w:val="26"/>
          <w:szCs w:val="26"/>
        </w:rPr>
        <w:t xml:space="preserve"> and its authority under the Natural Resources and Energy Act of 1973 (NREA) as it relates to intrastate pipelines</w:t>
      </w:r>
      <w:r w:rsidR="00C00A30">
        <w:rPr>
          <w:rStyle w:val="s1"/>
          <w:rFonts w:ascii="UICTFontTextStyleBody" w:hAnsi="UICTFontTextStyleBody"/>
          <w:sz w:val="26"/>
          <w:szCs w:val="26"/>
        </w:rPr>
        <w:t xml:space="preserve"> and natural gas supply</w:t>
      </w:r>
      <w:r w:rsidRPr="007F0D78">
        <w:rPr>
          <w:rStyle w:val="s1"/>
          <w:rFonts w:ascii="UICTFontTextStyleBody" w:hAnsi="UICTFontTextStyleBody"/>
          <w:sz w:val="26"/>
          <w:szCs w:val="26"/>
        </w:rPr>
        <w:t>.</w:t>
      </w:r>
      <w:r w:rsidR="00921C39">
        <w:rPr>
          <w:rStyle w:val="s1"/>
          <w:rFonts w:ascii="UICTFontTextStyleBody" w:hAnsi="UICTFontTextStyleBody"/>
          <w:sz w:val="26"/>
          <w:szCs w:val="26"/>
        </w:rPr>
        <w:t xml:space="preserve"> Should LDENR determine that</w:t>
      </w:r>
      <w:r w:rsidR="00A9047E">
        <w:rPr>
          <w:rStyle w:val="s1"/>
          <w:rFonts w:ascii="UICTFontTextStyleBody" w:hAnsi="UICTFontTextStyleBody"/>
          <w:sz w:val="26"/>
          <w:szCs w:val="26"/>
        </w:rPr>
        <w:t xml:space="preserve"> litigation impacts a matter under LDENR’s </w:t>
      </w:r>
      <w:r w:rsidR="00921C39">
        <w:rPr>
          <w:rStyle w:val="s1"/>
          <w:rFonts w:ascii="UICTFontTextStyleBody" w:hAnsi="UICTFontTextStyleBody"/>
          <w:sz w:val="26"/>
          <w:szCs w:val="26"/>
        </w:rPr>
        <w:t xml:space="preserve">authority </w:t>
      </w:r>
      <w:r w:rsidR="00A9047E">
        <w:rPr>
          <w:rStyle w:val="s1"/>
          <w:rFonts w:ascii="UICTFontTextStyleBody" w:hAnsi="UICTFontTextStyleBody"/>
          <w:sz w:val="26"/>
          <w:szCs w:val="26"/>
        </w:rPr>
        <w:t>which merits it taking a stated position it will do so in that litigation.</w:t>
      </w:r>
      <w:r w:rsidR="00921C39">
        <w:rPr>
          <w:rStyle w:val="s1"/>
          <w:rFonts w:ascii="UICTFontTextStyleBody" w:hAnsi="UICTFontTextStyleBody"/>
          <w:sz w:val="26"/>
          <w:szCs w:val="26"/>
        </w:rPr>
        <w:t xml:space="preserve"> Therefore LDENR wishes to reiterate that positions taken by private parties in the ongoing litigation in the above referenced matter</w:t>
      </w:r>
      <w:r w:rsidR="00C00A30">
        <w:rPr>
          <w:rStyle w:val="s1"/>
          <w:rFonts w:ascii="UICTFontTextStyleBody" w:hAnsi="UICTFontTextStyleBody"/>
          <w:sz w:val="26"/>
          <w:szCs w:val="26"/>
        </w:rPr>
        <w:t>s</w:t>
      </w:r>
      <w:r w:rsidR="00921C39">
        <w:rPr>
          <w:rStyle w:val="s1"/>
          <w:rFonts w:ascii="UICTFontTextStyleBody" w:hAnsi="UICTFontTextStyleBody"/>
          <w:sz w:val="26"/>
          <w:szCs w:val="26"/>
        </w:rPr>
        <w:t xml:space="preserve">, </w:t>
      </w:r>
      <w:r w:rsidR="00C00A30">
        <w:rPr>
          <w:rStyle w:val="s1"/>
          <w:rFonts w:ascii="UICTFontTextStyleBody" w:hAnsi="UICTFontTextStyleBody"/>
          <w:sz w:val="26"/>
          <w:szCs w:val="26"/>
        </w:rPr>
        <w:t>or any</w:t>
      </w:r>
      <w:r w:rsidR="00921C39">
        <w:rPr>
          <w:rStyle w:val="s1"/>
          <w:rFonts w:ascii="UICTFontTextStyleBody" w:hAnsi="UICTFontTextStyleBody"/>
          <w:sz w:val="26"/>
          <w:szCs w:val="26"/>
        </w:rPr>
        <w:t xml:space="preserve"> other cases</w:t>
      </w:r>
      <w:r w:rsidR="00C00A30">
        <w:rPr>
          <w:rStyle w:val="s1"/>
          <w:rFonts w:ascii="UICTFontTextStyleBody" w:hAnsi="UICTFontTextStyleBody"/>
          <w:sz w:val="26"/>
          <w:szCs w:val="26"/>
        </w:rPr>
        <w:t xml:space="preserve"> for that matter</w:t>
      </w:r>
      <w:r w:rsidR="00921C39">
        <w:rPr>
          <w:rStyle w:val="s1"/>
          <w:rFonts w:ascii="UICTFontTextStyleBody" w:hAnsi="UICTFontTextStyleBody"/>
          <w:sz w:val="26"/>
          <w:szCs w:val="26"/>
        </w:rPr>
        <w:t>, should not be construed</w:t>
      </w:r>
      <w:r w:rsidR="00C00A30">
        <w:rPr>
          <w:rStyle w:val="s1"/>
          <w:rFonts w:ascii="UICTFontTextStyleBody" w:hAnsi="UICTFontTextStyleBody"/>
          <w:sz w:val="26"/>
          <w:szCs w:val="26"/>
        </w:rPr>
        <w:t xml:space="preserve"> by the parties or the courts</w:t>
      </w:r>
      <w:r w:rsidR="00921C39">
        <w:rPr>
          <w:rStyle w:val="s1"/>
          <w:rFonts w:ascii="UICTFontTextStyleBody" w:hAnsi="UICTFontTextStyleBody"/>
          <w:sz w:val="26"/>
          <w:szCs w:val="26"/>
        </w:rPr>
        <w:t xml:space="preserve"> as the position of the department as it relates to its authorities for pipeline safety or under NREA.  </w:t>
      </w:r>
      <w:r>
        <w:rPr>
          <w:rStyle w:val="apple-converted-space"/>
          <w:rFonts w:ascii="UICTFontTextStyleBody" w:hAnsi="UICTFontTextStyleBody"/>
          <w:sz w:val="26"/>
          <w:szCs w:val="26"/>
        </w:rPr>
        <w:t> </w:t>
      </w:r>
    </w:p>
    <w:p w14:paraId="2856AE91" w14:textId="77777777" w:rsidR="006A321A" w:rsidRDefault="006A321A"/>
    <w:sectPr w:rsidR="006A3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2138" w14:textId="77777777" w:rsidR="00F23BEE" w:rsidRDefault="00F23BEE" w:rsidP="003A2C18">
      <w:r>
        <w:separator/>
      </w:r>
    </w:p>
  </w:endnote>
  <w:endnote w:type="continuationSeparator" w:id="0">
    <w:p w14:paraId="76D196AB" w14:textId="77777777" w:rsidR="00F23BEE" w:rsidRDefault="00F23BEE" w:rsidP="003A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UICTFontTextStyleBod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8B769" w14:textId="77777777" w:rsidR="00F23BEE" w:rsidRDefault="00F23BEE" w:rsidP="003A2C18">
      <w:r>
        <w:separator/>
      </w:r>
    </w:p>
  </w:footnote>
  <w:footnote w:type="continuationSeparator" w:id="0">
    <w:p w14:paraId="6F911A9D" w14:textId="77777777" w:rsidR="00F23BEE" w:rsidRDefault="00F23BEE" w:rsidP="003A2C18">
      <w:r>
        <w:continuationSeparator/>
      </w:r>
    </w:p>
  </w:footnote>
  <w:footnote w:id="1">
    <w:p w14:paraId="4A3CA022" w14:textId="6DD5398A" w:rsidR="00A9047E" w:rsidRPr="00A9047E" w:rsidRDefault="00A9047E">
      <w:pPr>
        <w:pStyle w:val="FootnoteText"/>
      </w:pPr>
      <w:r>
        <w:rPr>
          <w:rStyle w:val="FootnoteReference"/>
        </w:rPr>
        <w:footnoteRef/>
      </w:r>
      <w:r>
        <w:t xml:space="preserve"> </w:t>
      </w:r>
      <w:r>
        <w:rPr>
          <w:i/>
        </w:rPr>
        <w:t>ETC Tiger Pipeline, LLC v. La. Energy Gateway, LLC</w:t>
      </w:r>
      <w:r>
        <w:t>, No. 645193, 1</w:t>
      </w:r>
      <w:r w:rsidRPr="00A9047E">
        <w:rPr>
          <w:vertAlign w:val="superscript"/>
        </w:rPr>
        <w:t>st</w:t>
      </w:r>
      <w:r>
        <w:t xml:space="preserve"> JDC, Caddo Parish, Louisiana; </w:t>
      </w:r>
      <w:r>
        <w:rPr>
          <w:i/>
        </w:rPr>
        <w:t>ETC Tiger Pipeline, LLC v. La. Energy Gateway LLC,</w:t>
      </w:r>
      <w:r>
        <w:t xml:space="preserve"> No. 84242, 42</w:t>
      </w:r>
      <w:r w:rsidRPr="00A9047E">
        <w:rPr>
          <w:vertAlign w:val="superscript"/>
        </w:rPr>
        <w:t>nd</w:t>
      </w:r>
      <w:r>
        <w:t xml:space="preserve"> JDC, DeSoto Parish, Louisiana; </w:t>
      </w:r>
      <w:r>
        <w:rPr>
          <w:i/>
        </w:rPr>
        <w:t>La. Energy Gateway LLC v. Enable Midstream Partners, LP</w:t>
      </w:r>
      <w:r>
        <w:t>, No. 84203, 42</w:t>
      </w:r>
      <w:r w:rsidRPr="00A9047E">
        <w:rPr>
          <w:vertAlign w:val="superscript"/>
        </w:rPr>
        <w:t>nd</w:t>
      </w:r>
      <w:r>
        <w:t xml:space="preserve"> JDC, DeSoto Parish, Louisiana.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78"/>
    <w:rsid w:val="00001819"/>
    <w:rsid w:val="00040014"/>
    <w:rsid w:val="0014036A"/>
    <w:rsid w:val="002345A1"/>
    <w:rsid w:val="003A2C18"/>
    <w:rsid w:val="003B317E"/>
    <w:rsid w:val="003F04CE"/>
    <w:rsid w:val="004007A9"/>
    <w:rsid w:val="004703AB"/>
    <w:rsid w:val="006A321A"/>
    <w:rsid w:val="006E2619"/>
    <w:rsid w:val="00727B54"/>
    <w:rsid w:val="007B639F"/>
    <w:rsid w:val="007F0D78"/>
    <w:rsid w:val="008051DD"/>
    <w:rsid w:val="00863E9E"/>
    <w:rsid w:val="00921C39"/>
    <w:rsid w:val="00A62C1B"/>
    <w:rsid w:val="00A9047E"/>
    <w:rsid w:val="00BB17F2"/>
    <w:rsid w:val="00C00A30"/>
    <w:rsid w:val="00DA1DF3"/>
    <w:rsid w:val="00DE265D"/>
    <w:rsid w:val="00E13122"/>
    <w:rsid w:val="00F23BEE"/>
    <w:rsid w:val="00F4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0047"/>
  <w15:chartTrackingRefBased/>
  <w15:docId w15:val="{9DEFDDD0-87CA-48BB-9A93-8CDB1A40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265D"/>
    <w:pPr>
      <w:framePr w:w="7920" w:h="1980" w:hRule="exact" w:hSpace="180" w:wrap="auto" w:hAnchor="page" w:xAlign="center" w:yAlign="bottom"/>
      <w:ind w:left="2880"/>
    </w:pPr>
    <w:rPr>
      <w:rFonts w:eastAsiaTheme="majorEastAsia"/>
    </w:rPr>
  </w:style>
  <w:style w:type="paragraph" w:customStyle="1" w:styleId="p1">
    <w:name w:val="p1"/>
    <w:basedOn w:val="Normal"/>
    <w:rsid w:val="007F0D78"/>
    <w:pPr>
      <w:spacing w:before="100" w:beforeAutospacing="1" w:after="100" w:afterAutospacing="1"/>
    </w:pPr>
    <w:rPr>
      <w:rFonts w:ascii="Calibri" w:hAnsi="Calibri" w:cs="Calibri"/>
      <w:sz w:val="22"/>
      <w:szCs w:val="22"/>
    </w:rPr>
  </w:style>
  <w:style w:type="character" w:customStyle="1" w:styleId="s1">
    <w:name w:val="s1"/>
    <w:basedOn w:val="DefaultParagraphFont"/>
    <w:rsid w:val="007F0D78"/>
  </w:style>
  <w:style w:type="character" w:customStyle="1" w:styleId="apple-converted-space">
    <w:name w:val="apple-converted-space"/>
    <w:basedOn w:val="DefaultParagraphFont"/>
    <w:rsid w:val="007F0D78"/>
  </w:style>
  <w:style w:type="paragraph" w:styleId="Header">
    <w:name w:val="header"/>
    <w:basedOn w:val="Normal"/>
    <w:link w:val="HeaderChar"/>
    <w:uiPriority w:val="99"/>
    <w:unhideWhenUsed/>
    <w:rsid w:val="003A2C18"/>
    <w:pPr>
      <w:tabs>
        <w:tab w:val="center" w:pos="4680"/>
        <w:tab w:val="right" w:pos="9360"/>
      </w:tabs>
    </w:pPr>
  </w:style>
  <w:style w:type="character" w:customStyle="1" w:styleId="HeaderChar">
    <w:name w:val="Header Char"/>
    <w:basedOn w:val="DefaultParagraphFont"/>
    <w:link w:val="Header"/>
    <w:uiPriority w:val="99"/>
    <w:rsid w:val="003A2C18"/>
  </w:style>
  <w:style w:type="paragraph" w:styleId="Footer">
    <w:name w:val="footer"/>
    <w:basedOn w:val="Normal"/>
    <w:link w:val="FooterChar"/>
    <w:uiPriority w:val="99"/>
    <w:unhideWhenUsed/>
    <w:rsid w:val="003A2C18"/>
    <w:pPr>
      <w:tabs>
        <w:tab w:val="center" w:pos="4680"/>
        <w:tab w:val="right" w:pos="9360"/>
      </w:tabs>
    </w:pPr>
  </w:style>
  <w:style w:type="character" w:customStyle="1" w:styleId="FooterChar">
    <w:name w:val="Footer Char"/>
    <w:basedOn w:val="DefaultParagraphFont"/>
    <w:link w:val="Footer"/>
    <w:uiPriority w:val="99"/>
    <w:rsid w:val="003A2C18"/>
  </w:style>
  <w:style w:type="paragraph" w:styleId="FootnoteText">
    <w:name w:val="footnote text"/>
    <w:basedOn w:val="Normal"/>
    <w:link w:val="FootnoteTextChar"/>
    <w:uiPriority w:val="99"/>
    <w:semiHidden/>
    <w:unhideWhenUsed/>
    <w:rsid w:val="00A9047E"/>
    <w:rPr>
      <w:sz w:val="20"/>
      <w:szCs w:val="20"/>
    </w:rPr>
  </w:style>
  <w:style w:type="character" w:customStyle="1" w:styleId="FootnoteTextChar">
    <w:name w:val="Footnote Text Char"/>
    <w:basedOn w:val="DefaultParagraphFont"/>
    <w:link w:val="FootnoteText"/>
    <w:uiPriority w:val="99"/>
    <w:semiHidden/>
    <w:rsid w:val="00A9047E"/>
    <w:rPr>
      <w:sz w:val="20"/>
      <w:szCs w:val="20"/>
    </w:rPr>
  </w:style>
  <w:style w:type="character" w:styleId="FootnoteReference">
    <w:name w:val="footnote reference"/>
    <w:basedOn w:val="DefaultParagraphFont"/>
    <w:uiPriority w:val="99"/>
    <w:semiHidden/>
    <w:unhideWhenUsed/>
    <w:rsid w:val="00A90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 B r a d l e y S H V ! 2 0 4 9 7 3 4 . 1 < / d o c u m e n t i d >  
     < s e n d e r i d > J B L A C K S H E A R < / s e n d e r i d >  
     < s e n d e r e m a i l / >  
     < l a s t m o d i f i e d > 2 0 2 4 - 0 2 - 0 1 T 1 0 : 1 1 : 0 0 . 0 0 0 0 0 0 0 - 0 6 : 0 0 < / l a s t m o d i f i e d >  
     < d a t a b a s e > B r a d l e y S H V < / 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A0EB-89B8-4501-8BB2-DFBBE7881206}">
  <ds:schemaRefs>
    <ds:schemaRef ds:uri="http://www.imanage.com/work/xmlschema"/>
  </ds:schemaRefs>
</ds:datastoreItem>
</file>

<file path=customXml/itemProps2.xml><?xml version="1.0" encoding="utf-8"?>
<ds:datastoreItem xmlns:ds="http://schemas.openxmlformats.org/officeDocument/2006/customXml" ds:itemID="{5AB988AC-BA48-40DB-934D-529E005E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 Blackshear</dc:creator>
  <cp:keywords/>
  <dc:description/>
  <cp:lastModifiedBy>Patrick Courreges</cp:lastModifiedBy>
  <cp:revision>2</cp:revision>
  <dcterms:created xsi:type="dcterms:W3CDTF">2024-02-08T21:49:00Z</dcterms:created>
  <dcterms:modified xsi:type="dcterms:W3CDTF">2024-02-08T21:49:00Z</dcterms:modified>
</cp:coreProperties>
</file>