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514" w:rsidRDefault="00674514" w:rsidP="00550894">
      <w:pPr>
        <w:rPr>
          <w:b/>
          <w:sz w:val="24"/>
          <w:szCs w:val="24"/>
        </w:rPr>
      </w:pPr>
    </w:p>
    <w:p w:rsidR="00674514" w:rsidRPr="00674514" w:rsidRDefault="00674514" w:rsidP="00550894">
      <w:pPr>
        <w:rPr>
          <w:b/>
          <w:sz w:val="28"/>
          <w:szCs w:val="28"/>
        </w:rPr>
      </w:pPr>
      <w:r w:rsidRPr="00674514">
        <w:rPr>
          <w:b/>
          <w:sz w:val="28"/>
          <w:szCs w:val="28"/>
        </w:rPr>
        <w:t>Well Log Submission and Confidential Requests for Logs Submitted</w:t>
      </w:r>
    </w:p>
    <w:p w:rsidR="00674514" w:rsidRDefault="00674514" w:rsidP="00550894">
      <w:pPr>
        <w:rPr>
          <w:b/>
          <w:sz w:val="24"/>
          <w:szCs w:val="24"/>
        </w:rPr>
      </w:pPr>
    </w:p>
    <w:p w:rsidR="00C91D2B" w:rsidRPr="00550894" w:rsidRDefault="00C91D2B" w:rsidP="00550894">
      <w:pPr>
        <w:rPr>
          <w:b/>
          <w:sz w:val="24"/>
          <w:szCs w:val="24"/>
        </w:rPr>
      </w:pPr>
      <w:r w:rsidRPr="00550894">
        <w:rPr>
          <w:b/>
          <w:sz w:val="24"/>
          <w:szCs w:val="24"/>
        </w:rPr>
        <w:t>Other than the standard well history, test information, etc.; the well logs that need to be submitted electronically (via upload of a tiff format image) are all logs run on the well including wireline, MWD/LWD, pipe or tubing conveyed or any other means of wellbore evaluation.  The following logging tools, if run, must have the associated data submitted in 1” and 5” (MD and TVD) composite (unless run by separate providers/service companies):</w:t>
      </w:r>
    </w:p>
    <w:p w:rsidR="00C91D2B" w:rsidRPr="00550894" w:rsidRDefault="00C91D2B" w:rsidP="00550894">
      <w:pPr>
        <w:rPr>
          <w:b/>
          <w:sz w:val="24"/>
          <w:szCs w:val="24"/>
        </w:rPr>
      </w:pPr>
      <w:r w:rsidRPr="00550894">
        <w:rPr>
          <w:b/>
          <w:sz w:val="24"/>
          <w:szCs w:val="24"/>
        </w:rPr>
        <w:t> </w:t>
      </w:r>
    </w:p>
    <w:p w:rsidR="00C91D2B" w:rsidRPr="00550894" w:rsidRDefault="00C91D2B" w:rsidP="00550894">
      <w:pPr>
        <w:rPr>
          <w:b/>
          <w:sz w:val="24"/>
          <w:szCs w:val="24"/>
        </w:rPr>
      </w:pPr>
      <w:r w:rsidRPr="00550894">
        <w:rPr>
          <w:b/>
          <w:sz w:val="24"/>
          <w:szCs w:val="24"/>
        </w:rPr>
        <w:t>SP</w:t>
      </w:r>
    </w:p>
    <w:p w:rsidR="00C91D2B" w:rsidRPr="00550894" w:rsidRDefault="00C91D2B" w:rsidP="00550894">
      <w:pPr>
        <w:rPr>
          <w:b/>
          <w:sz w:val="24"/>
          <w:szCs w:val="24"/>
        </w:rPr>
      </w:pPr>
      <w:r w:rsidRPr="00550894">
        <w:rPr>
          <w:b/>
          <w:sz w:val="24"/>
          <w:szCs w:val="24"/>
        </w:rPr>
        <w:t>Gamma Ray</w:t>
      </w:r>
    </w:p>
    <w:p w:rsidR="00C91D2B" w:rsidRPr="00550894" w:rsidRDefault="00C91D2B" w:rsidP="00550894">
      <w:pPr>
        <w:rPr>
          <w:b/>
          <w:sz w:val="24"/>
          <w:szCs w:val="24"/>
        </w:rPr>
      </w:pPr>
      <w:r w:rsidRPr="00550894">
        <w:rPr>
          <w:b/>
          <w:sz w:val="24"/>
          <w:szCs w:val="24"/>
        </w:rPr>
        <w:t>Resistivity (direct or induction or other means)</w:t>
      </w:r>
    </w:p>
    <w:p w:rsidR="00C91D2B" w:rsidRPr="00550894" w:rsidRDefault="00C91D2B" w:rsidP="00550894">
      <w:pPr>
        <w:rPr>
          <w:b/>
          <w:sz w:val="24"/>
          <w:szCs w:val="24"/>
        </w:rPr>
      </w:pPr>
      <w:r w:rsidRPr="00550894">
        <w:rPr>
          <w:b/>
          <w:sz w:val="24"/>
          <w:szCs w:val="24"/>
        </w:rPr>
        <w:t xml:space="preserve">Sonic/Acoustic </w:t>
      </w:r>
    </w:p>
    <w:p w:rsidR="00C91D2B" w:rsidRPr="00550894" w:rsidRDefault="00C91D2B" w:rsidP="00550894">
      <w:pPr>
        <w:rPr>
          <w:b/>
          <w:sz w:val="24"/>
          <w:szCs w:val="24"/>
        </w:rPr>
      </w:pPr>
      <w:r w:rsidRPr="00550894">
        <w:rPr>
          <w:b/>
          <w:sz w:val="24"/>
          <w:szCs w:val="24"/>
        </w:rPr>
        <w:t>Neutron</w:t>
      </w:r>
    </w:p>
    <w:p w:rsidR="00C91D2B" w:rsidRPr="00550894" w:rsidRDefault="00C91D2B" w:rsidP="00550894">
      <w:pPr>
        <w:rPr>
          <w:b/>
          <w:sz w:val="24"/>
          <w:szCs w:val="24"/>
        </w:rPr>
      </w:pPr>
      <w:r w:rsidRPr="00550894">
        <w:rPr>
          <w:b/>
          <w:sz w:val="24"/>
          <w:szCs w:val="24"/>
        </w:rPr>
        <w:t>Density</w:t>
      </w:r>
    </w:p>
    <w:p w:rsidR="00C91D2B" w:rsidRPr="00550894" w:rsidRDefault="00C91D2B" w:rsidP="00550894">
      <w:pPr>
        <w:rPr>
          <w:b/>
          <w:sz w:val="24"/>
          <w:szCs w:val="24"/>
        </w:rPr>
      </w:pPr>
      <w:proofErr w:type="spellStart"/>
      <w:r w:rsidRPr="00550894">
        <w:rPr>
          <w:b/>
          <w:sz w:val="24"/>
          <w:szCs w:val="24"/>
        </w:rPr>
        <w:t>Dipmeter</w:t>
      </w:r>
      <w:proofErr w:type="spellEnd"/>
    </w:p>
    <w:p w:rsidR="00C91D2B" w:rsidRPr="00550894" w:rsidRDefault="00C91D2B" w:rsidP="00550894">
      <w:pPr>
        <w:rPr>
          <w:b/>
          <w:sz w:val="24"/>
          <w:szCs w:val="24"/>
        </w:rPr>
      </w:pPr>
      <w:proofErr w:type="gramStart"/>
      <w:r w:rsidRPr="00550894">
        <w:rPr>
          <w:b/>
          <w:sz w:val="24"/>
          <w:szCs w:val="24"/>
        </w:rPr>
        <w:t>Hole</w:t>
      </w:r>
      <w:proofErr w:type="gramEnd"/>
      <w:r w:rsidRPr="00550894">
        <w:rPr>
          <w:b/>
          <w:sz w:val="24"/>
          <w:szCs w:val="24"/>
        </w:rPr>
        <w:t xml:space="preserve"> Profile</w:t>
      </w:r>
    </w:p>
    <w:p w:rsidR="00C91D2B" w:rsidRPr="00550894" w:rsidRDefault="00C91D2B" w:rsidP="00550894">
      <w:pPr>
        <w:rPr>
          <w:b/>
          <w:sz w:val="24"/>
          <w:szCs w:val="24"/>
        </w:rPr>
      </w:pPr>
      <w:r w:rsidRPr="00550894">
        <w:rPr>
          <w:b/>
          <w:sz w:val="24"/>
          <w:szCs w:val="24"/>
        </w:rPr>
        <w:t>Formation Test</w:t>
      </w:r>
    </w:p>
    <w:p w:rsidR="00C91D2B" w:rsidRPr="00550894" w:rsidRDefault="00C91D2B" w:rsidP="00550894">
      <w:pPr>
        <w:rPr>
          <w:b/>
          <w:sz w:val="24"/>
          <w:szCs w:val="24"/>
        </w:rPr>
      </w:pPr>
      <w:r w:rsidRPr="00550894">
        <w:rPr>
          <w:b/>
          <w:sz w:val="24"/>
          <w:szCs w:val="24"/>
        </w:rPr>
        <w:t>Directional Survey</w:t>
      </w:r>
    </w:p>
    <w:p w:rsidR="00C91D2B" w:rsidRPr="00550894" w:rsidRDefault="00C91D2B" w:rsidP="00550894">
      <w:pPr>
        <w:rPr>
          <w:b/>
          <w:sz w:val="24"/>
          <w:szCs w:val="24"/>
        </w:rPr>
      </w:pPr>
    </w:p>
    <w:p w:rsidR="00C91D2B" w:rsidRPr="00550894" w:rsidRDefault="00C91D2B" w:rsidP="00550894">
      <w:pPr>
        <w:rPr>
          <w:b/>
          <w:sz w:val="24"/>
          <w:szCs w:val="24"/>
        </w:rPr>
      </w:pPr>
      <w:r w:rsidRPr="00550894">
        <w:rPr>
          <w:b/>
          <w:sz w:val="24"/>
          <w:szCs w:val="24"/>
        </w:rPr>
        <w:t xml:space="preserve">Logs Not Required Unless Subject of Unitization Hearing: (normally, these types of logs </w:t>
      </w:r>
      <w:proofErr w:type="gramStart"/>
      <w:r w:rsidRPr="00550894">
        <w:rPr>
          <w:b/>
          <w:sz w:val="24"/>
          <w:szCs w:val="24"/>
        </w:rPr>
        <w:t>would be submitted</w:t>
      </w:r>
      <w:proofErr w:type="gramEnd"/>
      <w:r w:rsidRPr="00550894">
        <w:rPr>
          <w:b/>
          <w:sz w:val="24"/>
          <w:szCs w:val="24"/>
        </w:rPr>
        <w:t xml:space="preserve"> either at the hearing or after the hearing by request of the Commissioner or his designated staff)</w:t>
      </w:r>
    </w:p>
    <w:p w:rsidR="00C91D2B" w:rsidRPr="00550894" w:rsidRDefault="00C91D2B" w:rsidP="00550894">
      <w:pPr>
        <w:rPr>
          <w:b/>
          <w:sz w:val="24"/>
          <w:szCs w:val="24"/>
        </w:rPr>
      </w:pPr>
    </w:p>
    <w:p w:rsidR="00C91D2B" w:rsidRPr="00550894" w:rsidRDefault="00C91D2B" w:rsidP="00550894">
      <w:pPr>
        <w:rPr>
          <w:b/>
          <w:sz w:val="24"/>
          <w:szCs w:val="24"/>
        </w:rPr>
      </w:pPr>
      <w:r w:rsidRPr="00550894">
        <w:rPr>
          <w:b/>
          <w:sz w:val="24"/>
          <w:szCs w:val="24"/>
        </w:rPr>
        <w:t>Detailed Lithology Logs</w:t>
      </w:r>
    </w:p>
    <w:p w:rsidR="00C91D2B" w:rsidRPr="00550894" w:rsidRDefault="00C91D2B" w:rsidP="00550894">
      <w:pPr>
        <w:rPr>
          <w:b/>
          <w:sz w:val="24"/>
          <w:szCs w:val="24"/>
        </w:rPr>
      </w:pPr>
      <w:r w:rsidRPr="00550894">
        <w:rPr>
          <w:b/>
          <w:sz w:val="24"/>
          <w:szCs w:val="24"/>
        </w:rPr>
        <w:t>Nuclear Magnetic Resonance</w:t>
      </w:r>
    </w:p>
    <w:p w:rsidR="00C91D2B" w:rsidRPr="00550894" w:rsidRDefault="00C91D2B" w:rsidP="00550894">
      <w:pPr>
        <w:rPr>
          <w:b/>
          <w:sz w:val="24"/>
          <w:szCs w:val="24"/>
        </w:rPr>
      </w:pPr>
      <w:r w:rsidRPr="00550894">
        <w:rPr>
          <w:b/>
          <w:sz w:val="24"/>
          <w:szCs w:val="24"/>
        </w:rPr>
        <w:t>Sand Strength</w:t>
      </w:r>
    </w:p>
    <w:p w:rsidR="00C91D2B" w:rsidRPr="00550894" w:rsidRDefault="00C91D2B" w:rsidP="00550894">
      <w:pPr>
        <w:rPr>
          <w:b/>
          <w:sz w:val="24"/>
          <w:szCs w:val="24"/>
        </w:rPr>
      </w:pPr>
      <w:r w:rsidRPr="00550894">
        <w:rPr>
          <w:b/>
          <w:sz w:val="24"/>
          <w:szCs w:val="24"/>
        </w:rPr>
        <w:t>Computed Hydrocarbon Content, “</w:t>
      </w:r>
      <w:proofErr w:type="spellStart"/>
      <w:r w:rsidRPr="00550894">
        <w:rPr>
          <w:b/>
          <w:sz w:val="24"/>
          <w:szCs w:val="24"/>
        </w:rPr>
        <w:t>Volan</w:t>
      </w:r>
      <w:proofErr w:type="spellEnd"/>
      <w:r w:rsidRPr="00550894">
        <w:rPr>
          <w:b/>
          <w:sz w:val="24"/>
          <w:szCs w:val="24"/>
        </w:rPr>
        <w:t>” or equivalent analysis logs</w:t>
      </w:r>
    </w:p>
    <w:p w:rsidR="00C91D2B" w:rsidRPr="00550894" w:rsidRDefault="00C91D2B" w:rsidP="00550894">
      <w:pPr>
        <w:rPr>
          <w:b/>
          <w:sz w:val="24"/>
          <w:szCs w:val="24"/>
        </w:rPr>
      </w:pPr>
    </w:p>
    <w:p w:rsidR="00C91D2B" w:rsidRPr="00550894" w:rsidRDefault="00C91D2B" w:rsidP="00550894">
      <w:pPr>
        <w:rPr>
          <w:b/>
          <w:sz w:val="24"/>
          <w:szCs w:val="24"/>
        </w:rPr>
      </w:pPr>
    </w:p>
    <w:p w:rsidR="00C91D2B" w:rsidRPr="00550894" w:rsidRDefault="00C91D2B" w:rsidP="00550894">
      <w:pPr>
        <w:rPr>
          <w:b/>
          <w:sz w:val="24"/>
          <w:szCs w:val="24"/>
        </w:rPr>
      </w:pPr>
      <w:r w:rsidRPr="00550894">
        <w:rPr>
          <w:b/>
          <w:sz w:val="24"/>
          <w:szCs w:val="24"/>
        </w:rPr>
        <w:t>For Confidential Log requests:</w:t>
      </w:r>
      <w:r w:rsidR="00674514">
        <w:rPr>
          <w:b/>
          <w:sz w:val="24"/>
          <w:szCs w:val="24"/>
        </w:rPr>
        <w:t xml:space="preserve"> (Logs must still be submitted and will be withheld from access until the expiration of the confidentiality period or the initiation of unitization procedures)</w:t>
      </w:r>
    </w:p>
    <w:p w:rsidR="00C91D2B" w:rsidRPr="00550894" w:rsidRDefault="00C91D2B" w:rsidP="00550894">
      <w:pPr>
        <w:rPr>
          <w:b/>
          <w:sz w:val="24"/>
          <w:szCs w:val="24"/>
        </w:rPr>
      </w:pPr>
    </w:p>
    <w:p w:rsidR="00C91D2B" w:rsidRPr="00550894" w:rsidRDefault="00C91D2B" w:rsidP="00550894">
      <w:pPr>
        <w:rPr>
          <w:b/>
          <w:sz w:val="24"/>
          <w:szCs w:val="24"/>
        </w:rPr>
      </w:pPr>
      <w:proofErr w:type="gramStart"/>
      <w:r w:rsidRPr="00550894">
        <w:rPr>
          <w:b/>
          <w:sz w:val="24"/>
          <w:szCs w:val="24"/>
        </w:rPr>
        <w:t>If the well is a legal location, is not unitized and no pre-application/application for a unit where the well is the subject of or pertinent to a unit proposal, and no part of the well path crossing the surface expression of any existing Commissioner’s unit; wells shallower than 15,000 feet can, upon request, get a one year confidential period and an additional one year period if such extension is requested two weeks prior to the expiration of the initial period. </w:t>
      </w:r>
      <w:proofErr w:type="gramEnd"/>
      <w:r w:rsidRPr="00550894">
        <w:rPr>
          <w:b/>
          <w:sz w:val="24"/>
          <w:szCs w:val="24"/>
        </w:rPr>
        <w:t xml:space="preserve"> </w:t>
      </w:r>
    </w:p>
    <w:p w:rsidR="00C91D2B" w:rsidRPr="00550894" w:rsidRDefault="00C91D2B" w:rsidP="00550894">
      <w:pPr>
        <w:rPr>
          <w:b/>
          <w:sz w:val="24"/>
          <w:szCs w:val="24"/>
        </w:rPr>
      </w:pPr>
    </w:p>
    <w:p w:rsidR="00C91D2B" w:rsidRPr="00550894" w:rsidRDefault="00C91D2B" w:rsidP="00550894">
      <w:pPr>
        <w:rPr>
          <w:b/>
          <w:sz w:val="24"/>
          <w:szCs w:val="24"/>
        </w:rPr>
      </w:pPr>
      <w:proofErr w:type="gramStart"/>
      <w:r w:rsidRPr="00550894">
        <w:rPr>
          <w:b/>
          <w:sz w:val="24"/>
          <w:szCs w:val="24"/>
        </w:rPr>
        <w:t>Wells 15,000 feet or deeper or well drilled in the offshore area, can be granted a two year confidential period and an additional 2 year period, upon request two weeks prior to the initial period expiration; provided that the provisions for legal location, no unit proceedings and no part of the well path crossing the surface expression of any existing Commissioner’s unit are met.</w:t>
      </w:r>
      <w:proofErr w:type="gramEnd"/>
    </w:p>
    <w:p w:rsidR="00C91D2B" w:rsidRPr="00550894" w:rsidRDefault="00C91D2B" w:rsidP="00550894">
      <w:pPr>
        <w:rPr>
          <w:b/>
          <w:sz w:val="24"/>
          <w:szCs w:val="24"/>
        </w:rPr>
      </w:pPr>
    </w:p>
    <w:p w:rsidR="00C91D2B" w:rsidRPr="00550894" w:rsidRDefault="00C91D2B" w:rsidP="00550894">
      <w:pPr>
        <w:rPr>
          <w:b/>
          <w:sz w:val="24"/>
          <w:szCs w:val="24"/>
        </w:rPr>
      </w:pPr>
      <w:r w:rsidRPr="00550894">
        <w:rPr>
          <w:b/>
          <w:sz w:val="24"/>
          <w:szCs w:val="24"/>
        </w:rPr>
        <w:t>Marty James can help you with the specific procedures for confidential log request</w:t>
      </w:r>
      <w:r w:rsidR="001167FE">
        <w:rPr>
          <w:b/>
          <w:sz w:val="24"/>
          <w:szCs w:val="24"/>
        </w:rPr>
        <w:t>s</w:t>
      </w:r>
      <w:r w:rsidRPr="00550894">
        <w:rPr>
          <w:b/>
          <w:sz w:val="24"/>
          <w:szCs w:val="24"/>
        </w:rPr>
        <w:t>, and the upload procedures.  </w:t>
      </w:r>
    </w:p>
    <w:p w:rsidR="00C91D2B" w:rsidRPr="00550894" w:rsidRDefault="00C91D2B" w:rsidP="00550894">
      <w:pPr>
        <w:rPr>
          <w:b/>
          <w:sz w:val="24"/>
          <w:szCs w:val="24"/>
        </w:rPr>
      </w:pPr>
    </w:p>
    <w:p w:rsidR="008474E3" w:rsidRPr="00550894" w:rsidRDefault="00C91D2B">
      <w:pPr>
        <w:rPr>
          <w:b/>
        </w:rPr>
      </w:pPr>
      <w:r w:rsidRPr="00550894">
        <w:rPr>
          <w:b/>
          <w:sz w:val="24"/>
          <w:szCs w:val="24"/>
        </w:rPr>
        <w:t>Logs should be submitted 10 days after the completion of the well or moving the drilling rig off location in the case of a dry hole or after all open hole logging operations have been completed.</w:t>
      </w:r>
      <w:bookmarkStart w:id="0" w:name="_GoBack"/>
      <w:bookmarkEnd w:id="0"/>
    </w:p>
    <w:sectPr w:rsidR="008474E3" w:rsidRPr="00550894" w:rsidSect="00674514">
      <w:pgSz w:w="12240" w:h="15840"/>
      <w:pgMar w:top="27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2B"/>
    <w:rsid w:val="001167FE"/>
    <w:rsid w:val="00550894"/>
    <w:rsid w:val="00674514"/>
    <w:rsid w:val="008474E3"/>
    <w:rsid w:val="00C91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B6D6D"/>
  <w15:chartTrackingRefBased/>
  <w15:docId w15:val="{9C55D250-E137-4064-8CEB-17DFA341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D2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D2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508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2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Elfert</dc:creator>
  <cp:keywords/>
  <dc:description/>
  <cp:lastModifiedBy>David Elfert</cp:lastModifiedBy>
  <cp:revision>6</cp:revision>
  <cp:lastPrinted>2020-06-16T14:33:00Z</cp:lastPrinted>
  <dcterms:created xsi:type="dcterms:W3CDTF">2020-06-16T14:22:00Z</dcterms:created>
  <dcterms:modified xsi:type="dcterms:W3CDTF">2020-06-16T15:07:00Z</dcterms:modified>
</cp:coreProperties>
</file>